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60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Times New Roman" w:cs="Times New Roman" w:eastAsia="SimSun" w:hAnsi="Times New Roman"/>
          <w:b/>
          <w:bCs/>
          <w:color w:val="1F3040"/>
          <w:sz w:val="52"/>
          <w:szCs w:val="52"/>
        </w:rPr>
        <w:t xml:space="preserve">智能体 FDE 项目交付方案</w:t>
      </w:r>
    </w:p>
    <w:p>
      <w:pPr>
        <w:spacing w:after="1600"/>
        <w:jc w:val="center"/>
      </w:pPr>
      <w:r>
        <w:rPr>
          <w:rFonts w:ascii="Times New Roman" w:cs="Times New Roman" w:eastAsia="SimSun" w:hAnsi="Times New Roman"/>
          <w:color w:val="4A7A96"/>
          <w:sz w:val="28"/>
          <w:szCs w:val="28"/>
        </w:rPr>
        <w:t xml:space="preserve">—— 面向中小企业的“MCP + Skills”智能体落地交付框架（通用版）</w:t>
      </w:r>
    </w:p>
    <w:p>
      <w:pPr>
        <w:spacing w:after="120"/>
        <w:jc w:val="center"/>
      </w:pPr>
      <w:r>
        <w:rPr>
          <w:rFonts w:ascii="Times New Roman" w:cs="Times New Roman" w:eastAsia="SimSun" w:hAnsi="Times New Roman"/>
          <w:b/>
          <w:bCs/>
          <w:color w:val="2F5068"/>
          <w:sz w:val="24"/>
          <w:szCs w:val="24"/>
        </w:rPr>
        <w:t xml:space="preserve">方案类型：</w:t>
      </w:r>
      <w:r>
        <w:rPr>
          <w:rFonts w:ascii="Times New Roman" w:cs="Times New Roman" w:eastAsia="SimSun" w:hAnsi="Times New Roman"/>
          <w:sz w:val="24"/>
          <w:szCs w:val="24"/>
        </w:rPr>
        <w:t xml:space="preserve">交付实施方案（模板，可按客户裁剪）</w:t>
      </w:r>
    </w:p>
    <w:p>
      <w:pPr>
        <w:spacing w:after="120"/>
        <w:jc w:val="center"/>
      </w:pPr>
      <w:r>
        <w:rPr>
          <w:rFonts w:ascii="Times New Roman" w:cs="Times New Roman" w:eastAsia="SimSun" w:hAnsi="Times New Roman"/>
          <w:b/>
          <w:bCs/>
          <w:color w:val="2F5068"/>
          <w:sz w:val="24"/>
          <w:szCs w:val="24"/>
        </w:rPr>
        <w:t xml:space="preserve">版本：</w:t>
      </w:r>
      <w:r>
        <w:rPr>
          <w:rFonts w:ascii="Times New Roman" w:cs="Times New Roman" w:eastAsia="SimSun" w:hAnsi="Times New Roman"/>
          <w:sz w:val="24"/>
          <w:szCs w:val="24"/>
        </w:rPr>
        <w:t xml:space="preserve">V1.0</w:t>
      </w:r>
    </w:p>
    <w:p>
      <w:pPr>
        <w:spacing w:after="120"/>
        <w:jc w:val="center"/>
      </w:pPr>
      <w:r>
        <w:rPr>
          <w:rFonts w:ascii="Times New Roman" w:cs="Times New Roman" w:eastAsia="SimSun" w:hAnsi="Times New Roman"/>
          <w:b/>
          <w:bCs/>
          <w:color w:val="2F5068"/>
          <w:sz w:val="24"/>
          <w:szCs w:val="24"/>
        </w:rPr>
        <w:t xml:space="preserve">日期：</w:t>
      </w:r>
      <w:r>
        <w:rPr>
          <w:rFonts w:ascii="Times New Roman" w:cs="Times New Roman" w:eastAsia="SimSun" w:hAnsi="Times New Roman"/>
          <w:sz w:val="24"/>
          <w:szCs w:val="24"/>
        </w:rPr>
        <w:t xml:space="preserve">2026 年 10 月</w:t>
      </w:r>
    </w:p>
    <w:p>
      <w:pPr>
        <w:spacing w:after="120"/>
        <w:jc w:val="center"/>
      </w:pPr>
      <w:r>
        <w:rPr>
          <w:rFonts w:ascii="Times New Roman" w:cs="Times New Roman" w:eastAsia="SimSun" w:hAnsi="Times New Roman"/>
          <w:b/>
          <w:bCs/>
          <w:color w:val="2F5068"/>
          <w:sz w:val="24"/>
          <w:szCs w:val="24"/>
        </w:rPr>
        <w:t xml:space="preserve">适用对象：</w:t>
      </w:r>
      <w:r>
        <w:rPr>
          <w:rFonts w:ascii="Times New Roman" w:cs="Times New Roman" w:eastAsia="SimSun" w:hAnsi="Times New Roman"/>
          <w:sz w:val="24"/>
          <w:szCs w:val="24"/>
        </w:rPr>
        <w:t xml:space="preserve">AI 服务商交付团队 / 企业数字化负责人</w:t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spacing w:after="160" w:before="240"/>
      </w:pPr>
      <w:r>
        <w:rPr>
          <w:rFonts w:ascii="Times New Roman" w:cs="Times New Roman" w:eastAsia="SimSun" w:hAnsi="Times New Roman"/>
          <w:b/>
          <w:bCs/>
          <w:color w:val="1F3040"/>
          <w:sz w:val="30"/>
          <w:szCs w:val="30"/>
        </w:rPr>
        <w:t xml:space="preserve">目  录</w:t>
      </w:r>
    </w:p>
    <w:p>
      <w:pPr>
        <w:spacing w:after="140" w:line="320"/>
      </w:pPr>
      <w:r>
        <w:rPr>
          <w:rFonts w:ascii="Times New Roman" w:cs="Times New Roman" w:eastAsia="SimSun" w:hAnsi="Times New Roman"/>
          <w:i/>
          <w:iCs/>
          <w:color w:val="8FA9B8"/>
          <w:sz w:val="20"/>
          <w:szCs w:val="20"/>
        </w:rPr>
        <w:t xml:space="preserve">页码为预估值，请在 Word/WPS 中右键目录选择“更新域”刷新。</w:t>
      </w:r>
    </w:p>
    <w:sdt xmlns:w="http://schemas.openxmlformats.org/wordprocessingml/2006/main">
      <w:sdtPr>
        <w:alias w:val="目录"/>
      </w:sdtPr>
      <w:sdtContent>
        <w:p>
          <w:r>
            <w:fldChar w:fldCharType="begin" w:dirty="true"/>
            <w:instrText xml:space="preserve"> TOC \o "1-2" \h \z \u </w:instrText>
            <w:fldChar w:fldCharType="separate"/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一、方案概述</w:t>
          </w:r>
          <w:r>
            <w:tab/>
          </w:r>
          <w:r>
            <w:t>2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1.1 背景：2026 年的智能体 FDE 是什么</w:t>
          </w:r>
          <w:r>
            <w:tab/>
          </w:r>
          <w:r>
            <w:t>2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1.2 适用范围与目标读者</w:t>
          </w:r>
          <w:r>
            <w:tab/>
          </w:r>
          <w:r>
            <w:t>2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1.3 设计原则</w:t>
          </w:r>
          <w:r>
            <w:tab/>
          </w:r>
          <w:r>
            <w:t>3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二、总体技术架构</w:t>
          </w:r>
          <w:r>
            <w:tab/>
          </w:r>
          <w:r>
            <w:t>4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2.1 五层架构总览</w:t>
          </w:r>
          <w:r>
            <w:tab/>
          </w:r>
          <w:r>
            <w:t>4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2.2 MCP 连接层设计要点</w:t>
          </w:r>
          <w:r>
            <w:tab/>
          </w:r>
          <w:r>
            <w:t>4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2.3 Skills 技能层设计要点</w:t>
          </w:r>
          <w:r>
            <w:tab/>
          </w:r>
          <w:r>
            <w:t>5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2.4 子智能体编排模式</w:t>
          </w:r>
          <w:r>
            <w:tab/>
          </w:r>
          <w:r>
            <w:t>5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2.5 模型选型与部署</w:t>
          </w:r>
          <w:r>
            <w:tab/>
          </w:r>
          <w:r>
            <w:t>6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2.6 安全、权限与合规</w:t>
          </w:r>
          <w:r>
            <w:tab/>
          </w:r>
          <w:r>
            <w:t>6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三、交付流程：五阶段模型</w:t>
          </w:r>
          <w:r>
            <w:tab/>
          </w:r>
          <w:r>
            <w:t>7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3.1 阶段 0：业务诊断（1—2 周）</w:t>
          </w:r>
          <w:r>
            <w:tab/>
          </w:r>
          <w:r>
            <w:t>8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3.2 阶段 1：POC 概念验证（2—4 周）</w:t>
          </w:r>
          <w:r>
            <w:tab/>
          </w:r>
          <w:r>
            <w:t>8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3.3 阶段 2：试点运行（4—8 周）</w:t>
          </w:r>
          <w:r>
            <w:tab/>
          </w:r>
          <w:r>
            <w:t>9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3.4 阶段 3：规模化推广（8—12 周）</w:t>
          </w:r>
          <w:r>
            <w:tab/>
          </w:r>
          <w:r>
            <w:t>9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3.5 阶段 4：运营与资产移交（持续，按年）</w:t>
          </w:r>
          <w:r>
            <w:tab/>
          </w:r>
          <w:r>
            <w:t>10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四、交付物总清单</w:t>
          </w:r>
          <w:r>
            <w:tab/>
          </w:r>
          <w:r>
            <w:t>11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五、团队配置与驻场模式</w:t>
          </w:r>
          <w:r>
            <w:tab/>
          </w:r>
          <w:r>
            <w:t>12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5.1 团队构成</w:t>
          </w:r>
          <w:r>
            <w:tab/>
          </w:r>
          <w:r>
            <w:t>12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5.2 驻场与沟通机制</w:t>
          </w:r>
          <w:r>
            <w:tab/>
          </w:r>
          <w:r>
            <w:t>12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六、质量保障与验收标准</w:t>
          </w:r>
          <w:r>
            <w:tab/>
          </w:r>
          <w:r>
            <w:t>13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6.1 三层评测体系</w:t>
          </w:r>
          <w:r>
            <w:tab/>
          </w:r>
          <w:r>
            <w:t>13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6.2 关键指标（KPI）定义</w:t>
          </w:r>
          <w:r>
            <w:tab/>
          </w:r>
          <w:r>
            <w:t>13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6.3 验收流程</w:t>
          </w:r>
          <w:r>
            <w:tab/>
          </w:r>
          <w:r>
            <w:t>14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七、报价模式</w:t>
          </w:r>
          <w:r>
            <w:tab/>
          </w:r>
          <w:r>
            <w:t>15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7.1 三种模式对比</w:t>
          </w:r>
          <w:r>
            <w:tab/>
          </w:r>
          <w:r>
            <w:t>15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7.2 参考价格区间（中小客户，人民币）</w:t>
          </w:r>
          <w:r>
            <w:tab/>
          </w:r>
          <w:r>
            <w:t>15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八、风险管理与应对</w:t>
          </w:r>
          <w:r>
            <w:tab/>
          </w:r>
          <w:r>
            <w:t>16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九、行业参考案例（公开资料）</w:t>
          </w:r>
          <w:r>
            <w:tab/>
          </w:r>
          <w:r>
            <w:t>17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十、附录</w:t>
          </w:r>
          <w:r>
            <w:tab/>
          </w:r>
          <w:r>
            <w:t>18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附录 A：Skill 设计模板（SKILL.md 骨架）</w:t>
          </w:r>
          <w:r>
            <w:tab/>
          </w:r>
          <w:r>
            <w:t>18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附录 B：MCP 工具设计模板</w:t>
          </w:r>
          <w:r>
            <w:tab/>
          </w:r>
          <w:r>
            <w:t>19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附录 C：场景价值测算公式</w:t>
          </w:r>
          <w:r>
            <w:tab/>
          </w:r>
          <w:r>
            <w:t>19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附录 D：项目周报模板要点</w:t>
          </w:r>
          <w:r>
            <w:tab/>
          </w:r>
          <w:r>
            <w:t>19</w:t>
          </w:r>
        </w:p>
        <w:p>
          <w:r>
            <w:fldChar w:fldCharType="end"/>
          </w:r>
        </w:p>
      </w:sdtContent>
    </w:sdt>
    <w:p>
      <w:pPr>
        <w:pStyle w:val="Heading1"/>
        <w:spacing w:after="180" w:before="360"/>
      </w:pPr>
      <w:r>
        <w:rPr>
          <w:rFonts w:ascii="Times New Roman" w:cs="Times New Roman" w:eastAsia="SimSun" w:hAnsi="Times New Roman"/>
          <w:b/>
          <w:bCs/>
          <w:color w:val="2F5068"/>
          <w:sz w:val="32"/>
          <w:szCs w:val="32"/>
        </w:rPr>
        <w:t xml:space="preserve">一、方案概述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1.1 背景：2026 年的智能体 FDE 是什么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FDE（Forward Deployed Engineer，前向部署工程师）模式起源于 Palantir：工程师进驻客户现场，在真实业务环境中把技术能力转化为生产系统。2025 至 2026 年，随着大模型、MCP（Model Context Protocol）与 Agent Skills 的成熟，这一模式演变为“智能体 FDE”——工程师带着智能体平台与方法论驻场，交付的核心资产不再是定制脚本，而是可复用的智能体系统。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2026 年的关键变化是交付物形态的标准化。Anthropic、Reducto 等公司的 FDE 岗位描述中，交付物已明确为三类资产：MCP server（把客户业务系统封装成智能体可调用的标准工具）、Agent Skills（把业务流程封装成可复用的流程知识）、子智能体（负责执行闭环）。据 Plank 发布的《State of FDE as a Service 2026》报告，FDE 岗位发布量在截至 2026 年 4 月的一年内增长了 729%，其记录的 15 个生产交付案例中 60% 为智能体系统。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本方案即按照这一成熟形态设计：以“MCP 连接层 + Skills 技能层 + 子智能体编排”为核心架构，以五阶段流程交付，交付物全部沉淀为客户自有资产。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1.2 适用范围与目标读者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服务商视角：AI/智能体服务商向中小企业客户交付项目的标准方案，可直接裁剪为客户提案；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企业视角：中小企业引入智能体的实施路线图，可用于内部立项与供应商管理；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客户画像：100—2000 人规模，已有一至多套业务系统（ERP、OA、CRM、MES 等），数据基础中等，无专职 AI 团队。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1.3 设计原则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一场景一闭环：每个智能体只负责一个完整业务闭环，高内聚、低耦合；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小步快跑：先 POC 验证价值，再试点、再规模化，任何阶段未达验收门即暂停投入；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资产沉淀：MCP server、Skill、评测集全部进入客户代码库与文档库，客户不被供应商锁定；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人在回路：涉及资金、合同、对外发送的动作必须经人工审批后执行；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按效果计价：报价与客户可核算的业务价值（节省工时、压缩时长、降低差错）挂钩。</w:t>
      </w:r>
    </w:p>
    <w:p>
      <w:pPr>
        <w:pStyle w:val="Heading1"/>
        <w:spacing w:after="180" w:before="360"/>
      </w:pPr>
      <w:r>
        <w:rPr>
          <w:rFonts w:ascii="Times New Roman" w:cs="Times New Roman" w:eastAsia="SimSun" w:hAnsi="Times New Roman"/>
          <w:b/>
          <w:bCs/>
          <w:color w:val="2F5068"/>
          <w:sz w:val="32"/>
          <w:szCs w:val="32"/>
        </w:rPr>
        <w:t xml:space="preserve">二、总体技术架构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2.1 五层架构总览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方案采用五层纵向架构加一套横向保障体系。架构设计的核心思想是“连接与流程分离”：MCP 负责连接（把系统变成工具），Skills 负责流程（把经验变成知识），子智能体负责执行（把知识变成动作）。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1500"/>
        <w:gridCol w:w="2500"/>
        <w:gridCol w:w="3000"/>
        <w:gridCol w:w="2000"/>
      </w:tblGrid>
      <w:tr>
        <w:trPr>
          <w:tblHeader/>
        </w:trPr>
        <w:tc>
          <w:tcPr>
            <w:tcW w:type="dxa" w:w="15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层级</w:t>
            </w:r>
          </w:p>
        </w:tc>
        <w:tc>
          <w:tcPr>
            <w:tcW w:type="dxa" w:w="25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职责</w:t>
            </w:r>
          </w:p>
        </w:tc>
        <w:tc>
          <w:tcPr>
            <w:tcW w:type="dxa" w:w="30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典型组件</w:t>
            </w:r>
          </w:p>
        </w:tc>
        <w:tc>
          <w:tcPr>
            <w:tcW w:type="dxa" w:w="20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对应交付物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交互层</w:t>
            </w:r>
          </w:p>
        </w:tc>
        <w:tc>
          <w:tcPr>
            <w:tcW w:type="dxa" w:w="2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员工使用入口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企业微信/钉钉/飞书/Slack 机器人、Web 工作台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接入配置、操作手册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智能体编排层</w:t>
            </w:r>
          </w:p>
        </w:tc>
        <w:tc>
          <w:tcPr>
            <w:tcW w:type="dxa" w:w="2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任务拆解与调度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主 Agent + 若干子 Agent，流水线或主从编排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智能体编排配置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Skills 技能层</w:t>
            </w:r>
          </w:p>
        </w:tc>
        <w:tc>
          <w:tcPr>
            <w:tcW w:type="dxa" w:w="2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业务流程封装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SKILL.md 技能定义，按业务域归档的技能集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企业 Skills 库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MCP 连接层</w:t>
            </w:r>
          </w:p>
        </w:tc>
        <w:tc>
          <w:tcPr>
            <w:tcW w:type="dxa" w:w="2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系统工具化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每个业务系统封装为一个 MCP server，读写分离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MCP server 源码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数据与知识层</w:t>
            </w:r>
          </w:p>
        </w:tc>
        <w:tc>
          <w:tcPr>
            <w:tcW w:type="dxa" w:w="2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知识与数据供给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知识库、业务本体、评测集、向量索引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知识库与评测集</w:t>
            </w:r>
          </w:p>
        </w:tc>
      </w:tr>
      <w:tr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横向保障</w:t>
            </w:r>
          </w:p>
        </w:tc>
        <w:tc>
          <w:tcPr>
            <w:tcW w:type="dxa" w:w="2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可观测、评测、安全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LangSmith/LangFuse 或国产观测平台、审计日志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观测与审计体系</w:t>
            </w:r>
          </w:p>
        </w:tc>
      </w:tr>
    </w:tbl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2.2 MCP 连接层设计要点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只读先行：优先封装查询类工具，验证稳定后再开放写操作；写操作独立成工具并强制携带审批标识；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命名规范：系统_对象_动作，如 erp_order_query、mes_device_status，保证智能体可准确选工具；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工具描述即文档：每个工具配参数说明、取值示例、失败码解释，描述质量直接决定调用准确率；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一系统一 server：便于权限隔离、独立部署与跨场景复用；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失败可回滚：写操作工具必须提供对应的冲正/撤销工具或人工补偿流程。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2.3 Skills 技能层设计要点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Skill 是一段可复用的流程知识，通常以 SKILL.md 形式定义，包含：名称、触发条件、输入、执行步骤、输出格式、失败处理与示例。设计要点如下。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单一职责：一个 Skill 只做一件事（如“条款提取”“风险识别”“合规检查”）；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挂载上限：单个智能体挂载 Skill 不超过 3—4 个。一线实战教训：某合同审核项目将 12 个 Skill 塞进一个 Agent，单份合同处理 40 余秒且频繁卡死；拆成 3 个子 Agent、各带 3—4 个 Skill 后，处理时间降至 8 秒以内；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版本管理：Skill 纳入代码库管理，变更需走评审与回归评测；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技能集沉淀：按业务域归档为技能集（生产制造、运营决策、IT 治理等），形成企业级资产。参考滴普科技的技能集模式，其 DeepexiOS 已沉淀 2000 余项 Skills 组合。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2.4 子智能体编排模式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1800"/>
        <w:gridCol w:w="3200"/>
        <w:gridCol w:w="2200"/>
        <w:gridCol w:w="1800"/>
      </w:tblGrid>
      <w:tr>
        <w:trPr>
          <w:tblHeader/>
        </w:trPr>
        <w:tc>
          <w:tcPr>
            <w:tcW w:type="dxa" w:w="18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编排模式</w:t>
            </w:r>
          </w:p>
        </w:tc>
        <w:tc>
          <w:tcPr>
            <w:tcW w:type="dxa" w:w="32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工作方式</w:t>
            </w:r>
          </w:p>
        </w:tc>
        <w:tc>
          <w:tcPr>
            <w:tcW w:type="dxa" w:w="22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适用场景</w:t>
            </w:r>
          </w:p>
        </w:tc>
        <w:tc>
          <w:tcPr>
            <w:tcW w:type="dxa" w:w="18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反模式警示</w:t>
            </w:r>
          </w:p>
        </w:tc>
      </w:tr>
      <w:tr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流水线模式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子 Agent 顺序接力，如提取→审核→生成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文档处理、审核类流程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环节间传递上下文过长导致漂移</w:t>
            </w:r>
          </w:p>
        </w:tc>
      </w:tr>
      <w:tr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主从模式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主 Agent 拆解任务并分派，子 Agent 并行执行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多系统协同、多源查询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主 Agent 规划能力不足时任务切碎</w:t>
            </w:r>
          </w:p>
        </w:tc>
      </w:tr>
      <w:tr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人机接力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智能体执行至审批节点，人工确认后继续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资金、合同、外发动作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审批节点缺失是最常见事故源</w:t>
            </w:r>
          </w:p>
        </w:tc>
      </w:tr>
    </w:tbl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2.5 模型选型与部署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1800"/>
        <w:gridCol w:w="2800"/>
        <w:gridCol w:w="2400"/>
        <w:gridCol w:w="2000"/>
      </w:tblGrid>
      <w:tr>
        <w:trPr>
          <w:tblHeader/>
        </w:trPr>
        <w:tc>
          <w:tcPr>
            <w:tcW w:type="dxa" w:w="18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档位</w:t>
            </w:r>
          </w:p>
        </w:tc>
        <w:tc>
          <w:tcPr>
            <w:tcW w:type="dxa" w:w="28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适用场景</w:t>
            </w:r>
          </w:p>
        </w:tc>
        <w:tc>
          <w:tcPr>
            <w:tcW w:type="dxa" w:w="24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部署方式</w:t>
            </w:r>
          </w:p>
        </w:tc>
        <w:tc>
          <w:tcPr>
            <w:tcW w:type="dxa" w:w="20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成本量级（参考）</w:t>
            </w:r>
          </w:p>
        </w:tc>
      </w:tr>
      <w:tr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云端旗舰模型</w:t>
            </w:r>
          </w:p>
        </w:tc>
        <w:tc>
          <w:tcPr>
            <w:tcW w:type="dxa" w:w="2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复杂推理、长文档审核、多步规划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API 调用，数据脱敏后出域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单场景每月数千至数万元</w:t>
            </w:r>
          </w:p>
        </w:tc>
      </w:tr>
      <w:tr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云端轻量模型</w:t>
            </w:r>
          </w:p>
        </w:tc>
        <w:tc>
          <w:tcPr>
            <w:tcW w:type="dxa" w:w="2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分类、抽取、路由等高频简单任务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API 调用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约为旗舰的十分之一</w:t>
            </w:r>
          </w:p>
        </w:tc>
      </w:tr>
      <w:tr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私有化开源模型</w:t>
            </w:r>
          </w:p>
        </w:tc>
        <w:tc>
          <w:tcPr>
            <w:tcW w:type="dxa" w:w="2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数据敏感、合规要求高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客户机房或专有云 GPU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一次性部署投入加运维</w:t>
            </w:r>
          </w:p>
        </w:tc>
      </w:tr>
    </w:tbl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推荐“旗舰做规划、轻量做执行”的混合路由：主 Agent 用旗舰模型，子 Agent 的高频调用用轻量模型，整体成本通常可降五至八成。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2.6 安全、权限与合规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最小权限：每个 MCP server 使用独立账号，仅授予场景所需的最小权限集；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读写分离与双人审批：写操作必须有人工审批节点，审批留痕；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全量审计：所有工具调用、模型输入输出、人工操作记录日志，保留不少于一年；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数据脱敏：出域数据脱敏；敏感行业选择私有化部署；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提示注入防护：外部输入（邮件、文档、网页）一律视为不可信，进入上下文前做注入检测。</w:t>
      </w:r>
    </w:p>
    <w:p>
      <w:pPr>
        <w:pStyle w:val="Heading1"/>
        <w:spacing w:after="180" w:before="360"/>
      </w:pPr>
      <w:r>
        <w:rPr>
          <w:rFonts w:ascii="Times New Roman" w:cs="Times New Roman" w:eastAsia="SimSun" w:hAnsi="Times New Roman"/>
          <w:b/>
          <w:bCs/>
          <w:color w:val="2F5068"/>
          <w:sz w:val="32"/>
          <w:szCs w:val="32"/>
        </w:rPr>
        <w:t xml:space="preserve">三、交付流程：五阶段模型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交付采用“诊断—POC—试点—规模化—运营”五阶段模型，每个阶段设验收门（Stage Gate），未达标不进入下一阶段，客户的投入风险被控制在当前阶段内。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1400"/>
        <w:gridCol w:w="1400"/>
        <w:gridCol w:w="3200"/>
        <w:gridCol w:w="3000"/>
      </w:tblGrid>
      <w:tr>
        <w:trPr>
          <w:tblHeader/>
        </w:trPr>
        <w:tc>
          <w:tcPr>
            <w:tcW w:type="dxa" w:w="14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阶段</w:t>
            </w:r>
          </w:p>
        </w:tc>
        <w:tc>
          <w:tcPr>
            <w:tcW w:type="dxa" w:w="14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周期</w:t>
            </w:r>
          </w:p>
        </w:tc>
        <w:tc>
          <w:tcPr>
            <w:tcW w:type="dxa" w:w="32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核心目标</w:t>
            </w:r>
          </w:p>
        </w:tc>
        <w:tc>
          <w:tcPr>
            <w:tcW w:type="dxa" w:w="30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里程碑（验收门）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0 业务诊断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1—2 周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摸清流程、系统与数据，选定首批场景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《诊断报告》签字，POC 场景确认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1 POC 验证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2—4 周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打通 1 个场景端到端，验证价值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评测指标达标，客户业务负责人确认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2 试点运行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4—8 周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真实业务并行运行，指标稳定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连续 4 周 KPI 达标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3 规模化推广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8—12 周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复制到 2—3 个相邻场景，平台化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多场景上线，Skills 库 v1 归档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4 运营移交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按年持续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稳定运营，客户团队逐步接管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资产移交完成，SLA 生效</w:t>
            </w:r>
          </w:p>
        </w:tc>
      </w:tr>
    </w:tbl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3.1 阶段 0：业务诊断（1—2 周）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FDE 进驻客户现场，完成三件事：流程穿行测试（跟着业务走一遍完整流程）、系统与数据摸底（接口可用性、数据质量、权限现状）、场景盘点与价值测算。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场景筛选按“价值 × 可行性”矩阵打分，示例如下。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2200"/>
        <w:gridCol w:w="1900"/>
        <w:gridCol w:w="1700"/>
        <w:gridCol w:w="1400"/>
        <w:gridCol w:w="1800"/>
      </w:tblGrid>
      <w:tr>
        <w:trPr>
          <w:tblHeader/>
        </w:trPr>
        <w:tc>
          <w:tcPr>
            <w:tcW w:type="dxa" w:w="22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候选场景</w:t>
            </w:r>
          </w:p>
        </w:tc>
        <w:tc>
          <w:tcPr>
            <w:tcW w:type="dxa" w:w="19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年价值估算</w:t>
            </w:r>
          </w:p>
        </w:tc>
        <w:tc>
          <w:tcPr>
            <w:tcW w:type="dxa" w:w="17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数据就绪度</w:t>
            </w:r>
          </w:p>
        </w:tc>
        <w:tc>
          <w:tcPr>
            <w:tcW w:type="dxa" w:w="14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风险</w:t>
            </w:r>
          </w:p>
        </w:tc>
        <w:tc>
          <w:tcPr>
            <w:tcW w:type="dxa" w:w="18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优先级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合同/单据审核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节省 2—3 人年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高（模板化文档）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低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P0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设备故障辅助诊断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减少停机 5%—10%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中（需整理维修记录）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中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P1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销售报价辅助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报价时长从天级到分钟级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中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低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P1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经营分析问答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管理层决策提效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低（口径不统一）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高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P2</w:t>
            </w:r>
          </w:p>
        </w:tc>
      </w:tr>
    </w:tbl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阶段交付物：《业务诊断报告》《场景清单与优先级》《系统与数据摸底清单》《POC 实施方案》。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3.2 阶段 1：POC 概念验证（2—4 周）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范围锁定：只做 1 个场景、1—2 个 MCP server（只读为主）、2—3 个 Skill；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评测先行：开工第一周从客户真实历史数据整理 50—100 条评测样本，标注标准答案；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快速迭代：每日 bad case 复盘，Skill 与提示词日更；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验收门示例：核心指标准确率不低于 85%（按场景约定）、端到端流程跑通、单均成本可接受。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阶段交付物：POC 智能体演示环境、《POC 评测报告》、《试点实施方案》。未达标则输出《场景终止或调整建议》，客户仅承担本阶段费用。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3.3 阶段 2：试点运行（4—8 周）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人机双跑：智能体结果与人工结果并行比对 2 周，差异全部归因；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灰度开放：先内部用户、再扩到业务全员；写操作从“人工代执行”逐步过渡到“审批后自动执行”；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bad case 日清：记录→归因→修复→回归评测→入库，闭环不超过 48 小时；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种子培训：培养 2—3 名客户侧种子用户，参与 Skill 迭代。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阶段交付物：生产版智能体、评测集 v2、《运维手册》v1、培训记录、《试点验收报告》。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3.4 阶段 3：规模化推广（8—12 周）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场景复制：把已验证的“MCP + Skills”资产复用到 2—3 个相邻场景，新场景边际成本通常只有首个场景的三到五成；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技能集归档：沉淀企业 Skills 库 v1，按业务域分类，配检索与版本管理；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平台化：统一入口、统一权限、统一观测，避免每个场景一套烟囱。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阶段交付物：多场景智能体矩阵、《企业 Skills 库》v1、《平台使用手册》。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3.5 阶段 4：运营与资产移交（持续，按年）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运营：月度运营报告（调用量、KPI、成本、bad case 趋势）、Skill 季度迭代；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移交：源码、文档、评测集、运维手册全部移交客户，配套接管培训与考核；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SLA：故障分级响应（P1 两小时响应、当日恢复；P2 当日响应；P3 三个工作日内）。</w:t>
      </w:r>
    </w:p>
    <w:p>
      <w:pPr>
        <w:pStyle w:val="Heading1"/>
        <w:spacing w:after="180" w:before="360"/>
      </w:pPr>
      <w:r>
        <w:rPr>
          <w:rFonts w:ascii="Times New Roman" w:cs="Times New Roman" w:eastAsia="SimSun" w:hAnsi="Times New Roman"/>
          <w:b/>
          <w:bCs/>
          <w:color w:val="2F5068"/>
          <w:sz w:val="32"/>
          <w:szCs w:val="32"/>
        </w:rPr>
        <w:t xml:space="preserve">四、交付物总清单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全部交付物归属客户，按以下清单逐项验收归档。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900"/>
        <w:gridCol w:w="1900"/>
        <w:gridCol w:w="3300"/>
        <w:gridCol w:w="1200"/>
        <w:gridCol w:w="1700"/>
      </w:tblGrid>
      <w:tr>
        <w:trPr>
          <w:tblHeader/>
        </w:trPr>
        <w:tc>
          <w:tcPr>
            <w:tcW w:type="dxa" w:w="9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编号</w:t>
            </w:r>
          </w:p>
        </w:tc>
        <w:tc>
          <w:tcPr>
            <w:tcW w:type="dxa" w:w="19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类别</w:t>
            </w:r>
          </w:p>
        </w:tc>
        <w:tc>
          <w:tcPr>
            <w:tcW w:type="dxa" w:w="33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交付物</w:t>
            </w:r>
          </w:p>
        </w:tc>
        <w:tc>
          <w:tcPr>
            <w:tcW w:type="dxa" w:w="12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阶段</w:t>
            </w:r>
          </w:p>
        </w:tc>
        <w:tc>
          <w:tcPr>
            <w:tcW w:type="dxa" w:w="17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验收方式</w:t>
            </w:r>
          </w:p>
        </w:tc>
      </w:tr>
      <w:tr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D1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咨询文档</w:t>
            </w:r>
          </w:p>
        </w:tc>
        <w:tc>
          <w:tcPr>
            <w:tcW w:type="dxa" w:w="3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业务诊断报告、场景清单与价值测算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0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评审会确认</w:t>
            </w:r>
          </w:p>
        </w:tc>
      </w:tr>
      <w:tr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D2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软件资产</w:t>
            </w:r>
          </w:p>
        </w:tc>
        <w:tc>
          <w:tcPr>
            <w:tcW w:type="dxa" w:w="3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MCP server 源码及接口文档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1—3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代码评审+接口测试</w:t>
            </w:r>
          </w:p>
        </w:tc>
      </w:tr>
      <w:tr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D3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软件资产</w:t>
            </w:r>
          </w:p>
        </w:tc>
        <w:tc>
          <w:tcPr>
            <w:tcW w:type="dxa" w:w="3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智能体编排配置与子 Agent 定义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1—3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功能验收</w:t>
            </w:r>
          </w:p>
        </w:tc>
      </w:tr>
      <w:tr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D4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知识资产</w:t>
            </w:r>
          </w:p>
        </w:tc>
        <w:tc>
          <w:tcPr>
            <w:tcW w:type="dxa" w:w="3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Skills 库（SKILL.md 集合）及版本记录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1—4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抽样评审+回归评测</w:t>
            </w:r>
          </w:p>
        </w:tc>
      </w:tr>
      <w:tr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D5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数据资产</w:t>
            </w:r>
          </w:p>
        </w:tc>
        <w:tc>
          <w:tcPr>
            <w:tcW w:type="dxa" w:w="3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评测集（含标准答案）与评测报告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1—4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指标复核</w:t>
            </w:r>
          </w:p>
        </w:tc>
      </w:tr>
      <w:tr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D6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运营文档</w:t>
            </w:r>
          </w:p>
        </w:tc>
        <w:tc>
          <w:tcPr>
            <w:tcW w:type="dxa" w:w="3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运维手册、监控看板、告警规则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2—4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演练验证</w:t>
            </w:r>
          </w:p>
        </w:tc>
      </w:tr>
      <w:tr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D7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培训记录</w:t>
            </w:r>
          </w:p>
        </w:tc>
        <w:tc>
          <w:tcPr>
            <w:tcW w:type="dxa" w:w="3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种子用户与管理员培训材料及考核结果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2—4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考核通过</w:t>
            </w:r>
          </w:p>
        </w:tc>
      </w:tr>
      <w:tr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D8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验收文档</w:t>
            </w:r>
          </w:p>
        </w:tc>
        <w:tc>
          <w:tcPr>
            <w:tcW w:type="dxa" w:w="3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各阶段验收报告、资产移交清单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各阶段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双方签字</w:t>
            </w:r>
          </w:p>
        </w:tc>
      </w:tr>
    </w:tbl>
    <w:p>
      <w:pPr>
        <w:pStyle w:val="Heading1"/>
        <w:spacing w:after="180" w:before="360"/>
      </w:pPr>
      <w:r>
        <w:rPr>
          <w:rFonts w:ascii="Times New Roman" w:cs="Times New Roman" w:eastAsia="SimSun" w:hAnsi="Times New Roman"/>
          <w:b/>
          <w:bCs/>
          <w:color w:val="2F5068"/>
          <w:sz w:val="32"/>
          <w:szCs w:val="32"/>
        </w:rPr>
        <w:t xml:space="preserve">五、团队配置与驻场模式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5.1 团队构成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2000"/>
        <w:gridCol w:w="1400"/>
        <w:gridCol w:w="3600"/>
        <w:gridCol w:w="2000"/>
      </w:tblGrid>
      <w:tr>
        <w:trPr>
          <w:tblHeader/>
        </w:trPr>
        <w:tc>
          <w:tcPr>
            <w:tcW w:type="dxa" w:w="20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角色</w:t>
            </w:r>
          </w:p>
        </w:tc>
        <w:tc>
          <w:tcPr>
            <w:tcW w:type="dxa" w:w="14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投入</w:t>
            </w:r>
          </w:p>
        </w:tc>
        <w:tc>
          <w:tcPr>
            <w:tcW w:type="dxa" w:w="36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职责</w:t>
            </w:r>
          </w:p>
        </w:tc>
        <w:tc>
          <w:tcPr>
            <w:tcW w:type="dxa" w:w="20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能力要求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交付负责人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0.5 人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进度、质量、客户关系与验收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有智能体项目完整交付经验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解决方案架构师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1 人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架构设计、模型选型、安全方案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熟悉 MCP/Skills 生态与企业集成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FDE 工程师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2 人（1 人驻场）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MCP server 开发、Skill 编写、智能体调优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全栈开发+提示工程+业务理解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评测/数据工程师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1 人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评测集建设、bad case 分析、数据治理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数据分析与评测方法论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行业顾问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按需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业务规则确认、场景价值测算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客户所在行业从业背景</w:t>
            </w:r>
          </w:p>
        </w:tc>
      </w:tr>
    </w:tbl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5.2 驻场与沟通机制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驻场配比：POC 期每周 3 天驻场；试点期每周 2 天；规模化后远程为主、双周到场；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沟通节奏：POC 期每日站会（15 分钟）；每周项目例会；双周指导委员会（双方负责人）；运营期月度运营会；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客户侧要求：指定 1 名业务对接人（每周至少半天）、1 名 IT 对接人（账号、网络、权限开通绿色通道）。</w:t>
      </w:r>
    </w:p>
    <w:p>
      <w:pPr>
        <w:pStyle w:val="Heading1"/>
        <w:spacing w:after="180" w:before="360"/>
      </w:pPr>
      <w:r>
        <w:rPr>
          <w:rFonts w:ascii="Times New Roman" w:cs="Times New Roman" w:eastAsia="SimSun" w:hAnsi="Times New Roman"/>
          <w:b/>
          <w:bCs/>
          <w:color w:val="2F5068"/>
          <w:sz w:val="32"/>
          <w:szCs w:val="32"/>
        </w:rPr>
        <w:t xml:space="preserve">六、质量保障与验收标准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6.1 三层评测体系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离线评测：每次 Skill、提示词或模型变更，须在黄金评测集上回归，指标不低于基线方可发布；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影子模式：新功能上线初期只产出建议不执行，与人工结果比对；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人工抽检：运营期按不低于 5% 的比例抽检智能体输出，抽检结果纳入月度报告。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6.2 关键指标（KPI）定义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2000"/>
        <w:gridCol w:w="3400"/>
        <w:gridCol w:w="1800"/>
        <w:gridCol w:w="1800"/>
      </w:tblGrid>
      <w:tr>
        <w:trPr>
          <w:tblHeader/>
        </w:trPr>
        <w:tc>
          <w:tcPr>
            <w:tcW w:type="dxa" w:w="20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指标</w:t>
            </w:r>
          </w:p>
        </w:tc>
        <w:tc>
          <w:tcPr>
            <w:tcW w:type="dxa" w:w="34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定义</w:t>
            </w:r>
          </w:p>
        </w:tc>
        <w:tc>
          <w:tcPr>
            <w:tcW w:type="dxa" w:w="18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目标示例</w:t>
            </w:r>
          </w:p>
        </w:tc>
        <w:tc>
          <w:tcPr>
            <w:tcW w:type="dxa" w:w="18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测量方式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准确率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输出与标准答案一致的比例（按场景定义一致标准）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≥90%（审核类）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评测集+抽检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任务完成率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无需人工干预端到端完成的任务占比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≥70%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系统日志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自动化率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智能体处理量占业务总量比例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≥60%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系统日志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人工接管率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转人工或人工修正的比例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≤15%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工单记录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端到端时长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任务发起到完成的耗时中位数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较人工缩短 ≥80%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系统日志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单均成本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模型调用+基础设施的折算成本/单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低于人工成本的 30%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账单折算</w:t>
            </w:r>
          </w:p>
        </w:tc>
      </w:tr>
    </w:tbl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6.3 验收流程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每阶段按“服务商自测→客户业务验收→客户 IT 安全验收→双方签字归档”四步执行。验收依据为本方案约定的 KPI 与交付物清单；任何争议以评测集复测结果为准。</w:t>
      </w:r>
    </w:p>
    <w:p>
      <w:pPr>
        <w:pStyle w:val="Heading1"/>
        <w:spacing w:after="180" w:before="360"/>
      </w:pPr>
      <w:r>
        <w:rPr>
          <w:rFonts w:ascii="Times New Roman" w:cs="Times New Roman" w:eastAsia="SimSun" w:hAnsi="Times New Roman"/>
          <w:b/>
          <w:bCs/>
          <w:color w:val="2F5068"/>
          <w:sz w:val="32"/>
          <w:szCs w:val="32"/>
        </w:rPr>
        <w:t xml:space="preserve">七、报价模式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7.1 三种模式对比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1700"/>
        <w:gridCol w:w="3100"/>
        <w:gridCol w:w="2200"/>
        <w:gridCol w:w="2000"/>
      </w:tblGrid>
      <w:tr>
        <w:trPr>
          <w:tblHeader/>
        </w:trPr>
        <w:tc>
          <w:tcPr>
            <w:tcW w:type="dxa" w:w="17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模式</w:t>
            </w:r>
          </w:p>
        </w:tc>
        <w:tc>
          <w:tcPr>
            <w:tcW w:type="dxa" w:w="31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计费方式</w:t>
            </w:r>
          </w:p>
        </w:tc>
        <w:tc>
          <w:tcPr>
            <w:tcW w:type="dxa" w:w="22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适用情形</w:t>
            </w:r>
          </w:p>
        </w:tc>
        <w:tc>
          <w:tcPr>
            <w:tcW w:type="dxa" w:w="20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风险分配</w:t>
            </w:r>
          </w:p>
        </w:tc>
      </w:tr>
      <w:t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阶段固定价</w:t>
            </w:r>
          </w:p>
        </w:tc>
        <w:tc>
          <w:tcPr>
            <w:tcW w:type="dxa" w:w="3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按阶段一口价，验收后付款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需求边界清晰、首次合作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服务商承担超支风险</w:t>
            </w:r>
          </w:p>
        </w:tc>
      </w:tr>
      <w:t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按效果计价</w:t>
            </w:r>
          </w:p>
        </w:tc>
        <w:tc>
          <w:tcPr>
            <w:tcW w:type="dxa" w:w="3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按节省人力成本的 20%—40% 分成，或按处理单量计费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价值易核算、长期合作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双方共担，利益绑定</w:t>
            </w:r>
          </w:p>
        </w:tc>
      </w:tr>
      <w:t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混合模式</w:t>
            </w:r>
          </w:p>
        </w:tc>
        <w:tc>
          <w:tcPr>
            <w:tcW w:type="dxa" w:w="3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诊断与 POC 固定价，运营期按效果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大多数中小客户的最优解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前期可控、后期对齐</w:t>
            </w:r>
          </w:p>
        </w:tc>
      </w:tr>
    </w:tbl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7.2 参考价格区间（中小客户，人民币）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2600"/>
        <w:gridCol w:w="2400"/>
        <w:gridCol w:w="4000"/>
      </w:tblGrid>
      <w:tr>
        <w:trPr>
          <w:tblHeader/>
        </w:trPr>
        <w:tc>
          <w:tcPr>
            <w:tcW w:type="dxa" w:w="26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项目</w:t>
            </w:r>
          </w:p>
        </w:tc>
        <w:tc>
          <w:tcPr>
            <w:tcW w:type="dxa" w:w="24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参考区间</w:t>
            </w:r>
          </w:p>
        </w:tc>
        <w:tc>
          <w:tcPr>
            <w:tcW w:type="dxa" w:w="40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说明</w:t>
            </w:r>
          </w:p>
        </w:tc>
      </w:tr>
      <w:t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业务诊断（阶段 0）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5—10 万元</w:t>
            </w:r>
          </w:p>
        </w:tc>
        <w:tc>
          <w:tcPr>
            <w:tcW w:type="dxa" w:w="4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部分服务商对签约客户免收</w:t>
            </w:r>
          </w:p>
        </w:tc>
      </w:tr>
      <w:t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POC（阶段 1）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15—40 万元</w:t>
            </w:r>
          </w:p>
        </w:tc>
        <w:tc>
          <w:tcPr>
            <w:tcW w:type="dxa" w:w="4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单场景、只读为主的范围</w:t>
            </w:r>
          </w:p>
        </w:tc>
      </w:tr>
      <w:t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试点（阶段 2）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30—80 万元</w:t>
            </w:r>
          </w:p>
        </w:tc>
        <w:tc>
          <w:tcPr>
            <w:tcW w:type="dxa" w:w="4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含生产化加固与培训</w:t>
            </w:r>
          </w:p>
        </w:tc>
      </w:tr>
      <w:t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规模化（阶段 3）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10—30 万元/场景</w:t>
            </w:r>
          </w:p>
        </w:tc>
        <w:tc>
          <w:tcPr>
            <w:tcW w:type="dxa" w:w="4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资产复用后边际成本递减</w:t>
            </w:r>
          </w:p>
        </w:tc>
      </w:tr>
      <w:t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运营（阶段 4）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3—8 万元/月</w:t>
            </w:r>
          </w:p>
        </w:tc>
        <w:tc>
          <w:tcPr>
            <w:tcW w:type="dxa" w:w="4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含 SLA、迭代与运营报告；模型调用费另计</w:t>
            </w:r>
          </w:p>
        </w:tc>
      </w:tr>
    </w:tbl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以上为 2026 年市场常见区间，实际报价需按场景复杂度、系统数量、私有化要求核算。付款节奏建议采用 3-4-3：签约 30%、中期 40%、验收 30%。</w:t>
      </w:r>
    </w:p>
    <w:p>
      <w:pPr>
        <w:pStyle w:val="Heading1"/>
        <w:spacing w:after="180" w:before="360"/>
      </w:pPr>
      <w:r>
        <w:rPr>
          <w:rFonts w:ascii="Times New Roman" w:cs="Times New Roman" w:eastAsia="SimSun" w:hAnsi="Times New Roman"/>
          <w:b/>
          <w:bCs/>
          <w:color w:val="2F5068"/>
          <w:sz w:val="32"/>
          <w:szCs w:val="32"/>
        </w:rPr>
        <w:t xml:space="preserve">八、风险管理与应对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1900"/>
        <w:gridCol w:w="3000"/>
        <w:gridCol w:w="4100"/>
      </w:tblGrid>
      <w:tr>
        <w:trPr>
          <w:tblHeader/>
        </w:trPr>
        <w:tc>
          <w:tcPr>
            <w:tcW w:type="dxa" w:w="19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风险</w:t>
            </w:r>
          </w:p>
        </w:tc>
        <w:tc>
          <w:tcPr>
            <w:tcW w:type="dxa" w:w="30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典型表现</w:t>
            </w:r>
          </w:p>
        </w:tc>
        <w:tc>
          <w:tcPr>
            <w:tcW w:type="dxa" w:w="41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应对措施</w:t>
            </w:r>
          </w:p>
        </w:tc>
      </w:tr>
      <w:tr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场景选择失误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选了价值低或数据不支撑的场景</w:t>
            </w:r>
          </w:p>
        </w:tc>
        <w:tc>
          <w:tcPr>
            <w:tcW w:type="dxa" w:w="4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阶段 0 价值×可行性矩阵把关；POC 验收门止损</w:t>
            </w:r>
          </w:p>
        </w:tc>
      </w:tr>
      <w:tr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数据质量差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接口缺失、历史数据脏乱</w:t>
            </w:r>
          </w:p>
        </w:tc>
        <w:tc>
          <w:tcPr>
            <w:tcW w:type="dxa" w:w="4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诊断期摸底前置暴露；必要时先做 2 周数据治理</w:t>
            </w:r>
          </w:p>
        </w:tc>
      </w:tr>
      <w:tr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模型幻觉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输出看似合理但错误</w:t>
            </w:r>
          </w:p>
        </w:tc>
        <w:tc>
          <w:tcPr>
            <w:tcW w:type="dxa" w:w="4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评测集回归、影子模式、人工抽检、关键动作人工审批</w:t>
            </w:r>
          </w:p>
        </w:tc>
      </w:tr>
      <w:tr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员工抵触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担心被替代而消极配合</w:t>
            </w:r>
          </w:p>
        </w:tc>
        <w:tc>
          <w:tcPr>
            <w:tcW w:type="dxa" w:w="4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定位为辅助提效；种子用户参与共建；保留人工复核岗</w:t>
            </w:r>
          </w:p>
        </w:tc>
      </w:tr>
      <w:tr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供应商锁定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资产在服务商手中无法接管</w:t>
            </w:r>
          </w:p>
        </w:tc>
        <w:tc>
          <w:tcPr>
            <w:tcW w:type="dxa" w:w="4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交付物全部入客户库；合同写明资产归属与移交义务</w:t>
            </w:r>
          </w:p>
        </w:tc>
      </w:tr>
      <w:tr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成本失控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调用量增长导致模型费超预算</w:t>
            </w:r>
          </w:p>
        </w:tc>
        <w:tc>
          <w:tcPr>
            <w:tcW w:type="dxa" w:w="4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混合路由降本；月度成本报告；超阈值自动告警</w:t>
            </w:r>
          </w:p>
        </w:tc>
      </w:tr>
      <w:tr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安全合规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敏感数据出域、越权操作</w:t>
            </w:r>
          </w:p>
        </w:tc>
        <w:tc>
          <w:tcPr>
            <w:tcW w:type="dxa" w:w="4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最小权限、脱敏、审计日志；敏感行业私有化部署</w:t>
            </w:r>
          </w:p>
        </w:tc>
      </w:tr>
      <w:tr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关键人依赖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客户对接人变动导致项目停滞</w:t>
            </w:r>
          </w:p>
        </w:tc>
        <w:tc>
          <w:tcPr>
            <w:tcW w:type="dxa" w:w="4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双对接人机制；文档与培训前置</w:t>
            </w:r>
          </w:p>
        </w:tc>
      </w:tr>
    </w:tbl>
    <w:p>
      <w:pPr>
        <w:pStyle w:val="Heading1"/>
        <w:spacing w:after="180" w:before="360"/>
      </w:pPr>
      <w:r>
        <w:rPr>
          <w:rFonts w:ascii="Times New Roman" w:cs="Times New Roman" w:eastAsia="SimSun" w:hAnsi="Times New Roman"/>
          <w:b/>
          <w:bCs/>
          <w:color w:val="2F5068"/>
          <w:sz w:val="32"/>
          <w:szCs w:val="32"/>
        </w:rPr>
        <w:t xml:space="preserve">九、行业参考案例（公开资料）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以下案例来自 2025—2026 年公开报道与公司公开资料，可作为本方案各环节的实践参照。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Distyl AI（美国，约 160 人创业公司）：前 Palantir 团队创立，以自研 Distillery 智能体平台嵌入客户业务，按效果签多年合同；为 T-Mobile 做账单预测、为 Elevance Health 做医疗预授权，50 余个大企业部署全部进入生产环境。参照点：高接触交付+平台化沉淀的资产复用路径。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Reducto（美国早期创业公司）：FDE 岗位交付物明确为“MCP server、子智能体、Agent Skills”，并专设 Agent Experience Engineer 负责把产品能力封装为 CLI、MCP server 与 SDK 供客户智能体调用。参照点：交付物标准化形态。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Serval（美国创业公司）：为企业交付 IT 支持智能体，员工在 Slack 内发起权限申请，智能体数秒内完成审批、执行与审计闭环，客户按节省的 FTE 数量核算价值。参照点：人机接力编排与按效果计价。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滴普科技（中国，港股 1384.HK）：DeepexiOS 体系将交付沉淀为“企业大模型+DeepWorks 智能体平台+Deepology 本体数据+Skills 集”，技能集已积累 2000 余项 Skills 组合；工业故障维修场景支持自主规划排查路径、过程可追溯。参照点：技能集沉淀与摆脱项目制交付。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明略科技（中国，港股 02718.HK）：2026 年上半年智能体化服务收入同比增长 605.7%，FDE 模式加速推进；内部 4000 余个有记忆、有状态的智能体在开源协作网络 Octo 上日常运转。参照点：规模化运营期的多智能体治理。</w:t>
      </w:r>
    </w:p>
    <w:p>
      <w:pPr>
        <w:pStyle w:val="Heading1"/>
        <w:spacing w:after="180" w:before="360"/>
      </w:pPr>
      <w:r>
        <w:rPr>
          <w:rFonts w:ascii="Times New Roman" w:cs="Times New Roman" w:eastAsia="SimSun" w:hAnsi="Times New Roman"/>
          <w:b/>
          <w:bCs/>
          <w:color w:val="2F5068"/>
          <w:sz w:val="32"/>
          <w:szCs w:val="32"/>
        </w:rPr>
        <w:t xml:space="preserve">十、附录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附录 A：Skill 设计模板（SKILL.md 骨架）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---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name: contract_clause_extract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description: 从合同文本中提取指定条款，输出结构化结果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trigger: 收到新的合同文档且类型为采购/销售合同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inputs: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  - contract_doc: 合同原文（docx/pdf 解析文本）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  - clause_types: 需提取的条款类型清单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steps: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  1. 调用 doc_parse 工具解析原文并分段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  2. 按 clause_types 逐类定位候选段落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  3. 抽取关键要素（金额、期限、违约责任）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  4. 置信度低于 0.8 的字段标记为待人工确认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outputs: JSON（字段、取值、原文定位、置信度）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failure_handling: 解析失败时转人工队列并记录原因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examples: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  - input: 示例合同 A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    output: 示例输出 A</w:t>
      </w:r>
    </w:p>
    <w:p>
      <w:pPr>
        <w:shd w:fill="F5F7F8" w:val="clear"/>
        <w:spacing w:after="0" w:line="240"/>
      </w:pPr>
      <w:r>
        <w:rPr>
          <w:rFonts w:ascii="Consolas" w:cs="Consolas" w:eastAsia="SimSun" w:hAnsi="Consolas"/>
          <w:sz w:val="20"/>
          <w:szCs w:val="20"/>
        </w:rPr>
        <w:t xml:space="preserve">---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附录 B：MCP 工具设计模板</w:t>
      </w:r>
    </w:p>
    <w:tbl>
      <w:tblPr>
        <w:tblW w:type="dxa" w:w="9000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2200"/>
        <w:gridCol w:w="1100"/>
        <w:gridCol w:w="2700"/>
        <w:gridCol w:w="1500"/>
        <w:gridCol w:w="1500"/>
      </w:tblGrid>
      <w:tr>
        <w:trPr>
          <w:tblHeader/>
        </w:trPr>
        <w:tc>
          <w:tcPr>
            <w:tcW w:type="dxa" w:w="22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工具名</w:t>
            </w:r>
          </w:p>
        </w:tc>
        <w:tc>
          <w:tcPr>
            <w:tcW w:type="dxa" w:w="11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类型</w:t>
            </w:r>
          </w:p>
        </w:tc>
        <w:tc>
          <w:tcPr>
            <w:tcW w:type="dxa" w:w="27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参数（示例）</w:t>
            </w:r>
          </w:p>
        </w:tc>
        <w:tc>
          <w:tcPr>
            <w:tcW w:type="dxa" w:w="15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权限</w:t>
            </w:r>
          </w:p>
        </w:tc>
        <w:tc>
          <w:tcPr>
            <w:tcW w:type="dxa" w:w="1500"/>
            <w:shd w:fill="EEF3F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b/>
                <w:bCs/>
                <w:sz w:val="21"/>
                <w:szCs w:val="21"/>
              </w:rPr>
              <w:t xml:space="preserve">审批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erp_order_query</w:t>
            </w:r>
          </w:p>
        </w:tc>
        <w:tc>
          <w:tcPr>
            <w:tcW w:type="dxa" w:w="1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只读</w:t>
            </w:r>
          </w:p>
        </w:tc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order_id / date_range / status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销售数据只读账号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无需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erp_order_create</w:t>
            </w:r>
          </w:p>
        </w:tc>
        <w:tc>
          <w:tcPr>
            <w:tcW w:type="dxa" w:w="1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写入</w:t>
            </w:r>
          </w:p>
        </w:tc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customer_id / items / amount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受控写账号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金额超阈值需审批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mes_device_status</w:t>
            </w:r>
          </w:p>
        </w:tc>
        <w:tc>
          <w:tcPr>
            <w:tcW w:type="dxa" w:w="1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只读</w:t>
            </w:r>
          </w:p>
        </w:tc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device_id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生产网只读账号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无需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oa_notice_send</w:t>
            </w:r>
          </w:p>
        </w:tc>
        <w:tc>
          <w:tcPr>
            <w:tcW w:type="dxa" w:w="1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写入</w:t>
            </w:r>
          </w:p>
        </w:tc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receivers / content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受控写账号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line="260"/>
            </w:pPr>
            <w:r>
              <w:rPr>
                <w:rFonts w:ascii="Times New Roman" w:cs="Times New Roman" w:eastAsia="SimSun" w:hAnsi="Times New Roman"/>
                <w:sz w:val="21"/>
                <w:szCs w:val="21"/>
              </w:rPr>
              <w:t xml:space="preserve">一律人工审批</w:t>
            </w:r>
          </w:p>
        </w:tc>
      </w:tr>
    </w:tbl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附录 C：场景价值测算公式</w:t>
      </w:r>
    </w:p>
    <w:p>
      <w:pPr>
        <w:spacing w:after="140" w:line="320"/>
        <w:ind w:firstLine="475"/>
      </w:pPr>
      <w:r>
        <w:rPr>
          <w:rFonts w:ascii="Times New Roman" w:cs="Times New Roman" w:eastAsia="SimSun" w:hAnsi="Times New Roman"/>
          <w:sz w:val="24"/>
          <w:szCs w:val="24"/>
        </w:rPr>
        <w:t xml:space="preserve">年价值 = 年处理单量 × 单均人工时长 × 综合人力成本（元/小时）× 预期自动化率 − 智能体年运行成本（模型调用+基础设施+运营服务费）。测算时使用保守、中性、乐观三档参数，取保守档作为立项依据。</w:t>
      </w:r>
    </w:p>
    <w:p>
      <w:pPr>
        <w:pStyle w:val="Heading2"/>
        <w:spacing w:after="140" w:before="280"/>
      </w:pPr>
      <w:r>
        <w:rPr>
          <w:rFonts w:ascii="Times New Roman" w:cs="Times New Roman" w:eastAsia="SimSun" w:hAnsi="Times New Roman"/>
          <w:b/>
          <w:bCs/>
          <w:color w:val="1F3040"/>
          <w:sz w:val="27"/>
          <w:szCs w:val="27"/>
        </w:rPr>
        <w:t xml:space="preserve">附录 D：项目周报模板要点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本周进展：对照阶段计划逐项标注完成度；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指标看板：核心 KPI 当前值 vs 目标值；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bad case 清单：新增、关闭、在途各多少，典型案例归因；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风险与求助：需要客户协调的事项（账号、数据、会议）；</w:t>
      </w:r>
    </w:p>
    <w:p>
      <w:pPr>
        <w:pStyle w:val="ListParagraph"/>
        <w:numPr>
          <w:ilvl w:val="0"/>
          <w:numId w:val="2"/>
        </w:numPr>
        <w:spacing w:after="140" w:line="320"/>
      </w:pPr>
      <w:r>
        <w:rPr>
          <w:rFonts w:ascii="Times New Roman" w:cs="Times New Roman" w:eastAsia="SimSun" w:hAnsi="Times New Roman"/>
          <w:sz w:val="24"/>
          <w:szCs w:val="24"/>
        </w:rPr>
        <w:t xml:space="preserve">下周计划：具体到交付物与负责人。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40" w:line="320"/>
      <w:jc w:val="center"/>
    </w:pPr>
    <w:r>
      <w:rPr>
        <w:rFonts w:ascii="Times New Roman" w:cs="Times New Roman" w:eastAsia="SimSu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40" w:line="320"/>
      <w:jc w:val="center"/>
    </w:pPr>
    <w:r>
      <w:rPr>
        <w:rFonts w:ascii="Times New Roman" w:cs="Times New Roman" w:eastAsia="SimSun" w:hAnsi="Times New Roman"/>
        <w:b/>
        <w:bCs/>
        <w:color w:val="8FA9B8"/>
        <w:sz w:val="18"/>
        <w:szCs w:val="18"/>
      </w:rPr>
      <w:t xml:space="preserve">智能体 FDE 项目交付方案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840" w:hanging="4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2026-10-06T04:52:37.778Z</dcterms:created>
  <dcterms:modified xsi:type="dcterms:W3CDTF">2026-10-06T04:52:37.787Z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